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EF" w:rsidRDefault="00CD695F">
      <w:pPr>
        <w:spacing w:after="0"/>
        <w:jc w:val="right"/>
      </w:pPr>
      <w:r>
        <w:rPr>
          <w:rFonts w:ascii="Lato Black"/>
          <w:b/>
        </w:rPr>
        <w:t>MSBA Core Manual</w:t>
      </w:r>
    </w:p>
    <w:p w:rsidR="009D2EEF" w:rsidRDefault="00CD695F">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000" w:firstRow="0" w:lastRow="0" w:firstColumn="0" w:lastColumn="0" w:noHBand="0" w:noVBand="0"/>
      </w:tblPr>
      <w:tblGrid>
        <w:gridCol w:w="7701"/>
        <w:gridCol w:w="1925"/>
      </w:tblGrid>
      <w:tr w:rsidR="009D2EEF">
        <w:tc>
          <w:tcPr>
            <w:tcW w:w="0" w:type="auto"/>
            <w:shd w:val="clear" w:color="auto" w:fill="EFEFEF"/>
          </w:tcPr>
          <w:p w:rsidR="009D2EEF" w:rsidRDefault="00CD695F">
            <w:pPr>
              <w:spacing w:after="0"/>
            </w:pPr>
            <w:r>
              <w:rPr>
                <w:rFonts w:ascii="Lato Black"/>
                <w:b/>
              </w:rPr>
              <w:t>Policy BDDF-1: VOTING METHOD</w:t>
            </w:r>
          </w:p>
        </w:tc>
        <w:tc>
          <w:tcPr>
            <w:tcW w:w="1000" w:type="pct"/>
            <w:shd w:val="clear" w:color="auto" w:fill="EFEFEF"/>
          </w:tcPr>
          <w:p w:rsidR="009D2EEF" w:rsidRDefault="00CD695F">
            <w:r>
              <w:rPr>
                <w:rFonts w:ascii="Lato Black"/>
                <w:b/>
              </w:rPr>
              <w:t xml:space="preserve">Status: </w:t>
            </w:r>
            <w:r>
              <w:rPr>
                <w:rFonts w:ascii="Lato"/>
              </w:rPr>
              <w:t>ADOPTED</w:t>
            </w:r>
          </w:p>
        </w:tc>
      </w:tr>
      <w:tr w:rsidR="009D2EEF">
        <w:tc>
          <w:tcPr>
            <w:tcW w:w="0" w:type="auto"/>
            <w:shd w:val="clear" w:color="auto" w:fill="EFEFEF"/>
          </w:tcPr>
          <w:p w:rsidR="009D2EEF" w:rsidRDefault="00CD695F">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09/01/2022</w:t>
            </w:r>
            <w:r>
              <w:rPr>
                <w:rFonts w:ascii="Lato Black"/>
                <w:b/>
                <w:sz w:val="18"/>
              </w:rPr>
              <w:t xml:space="preserve"> | Last Reviewed Date: </w:t>
            </w:r>
            <w:r>
              <w:rPr>
                <w:rFonts w:ascii="Lato"/>
                <w:sz w:val="18"/>
              </w:rPr>
              <w:t>09/01/2022</w:t>
            </w:r>
            <w:r w:rsidR="00E332C8">
              <w:rPr>
                <w:rFonts w:ascii="Lato"/>
                <w:sz w:val="18"/>
              </w:rPr>
              <w:t>; 1/19/23</w:t>
            </w:r>
          </w:p>
        </w:tc>
        <w:tc>
          <w:tcPr>
            <w:tcW w:w="0" w:type="auto"/>
            <w:shd w:val="clear" w:color="auto" w:fill="EFEFEF"/>
          </w:tcPr>
          <w:p w:rsidR="009D2EEF" w:rsidRDefault="009D2EEF">
            <w:pPr>
              <w:spacing w:after="0"/>
            </w:pPr>
          </w:p>
        </w:tc>
      </w:tr>
    </w:tbl>
    <w:p w:rsidR="009D2EEF" w:rsidRDefault="009D2EEF">
      <w:pPr>
        <w:spacing w:after="30"/>
        <w:jc w:val="right"/>
      </w:pPr>
    </w:p>
    <w:p w:rsidR="00A3384D" w:rsidRDefault="00CD695F">
      <w:pPr>
        <w:divId w:val="1002926278"/>
        <w:rPr>
          <w:rFonts w:ascii="Lato" w:eastAsia="Times New Roman" w:hAnsi="Lato"/>
        </w:rPr>
      </w:pPr>
      <w:r>
        <w:rPr>
          <w:rFonts w:ascii="Lato" w:eastAsia="Times New Roman" w:hAnsi="Lato"/>
        </w:rPr>
        <w:t>All motions and votes will be recorded in the minutes. When a member abstains from vot</w:t>
      </w:r>
      <w:bookmarkStart w:id="0" w:name="_GoBack"/>
      <w:bookmarkEnd w:id="0"/>
      <w:r>
        <w:rPr>
          <w:rFonts w:ascii="Lato" w:eastAsia="Times New Roman" w:hAnsi="Lato"/>
        </w:rPr>
        <w:t>ing, such abstention shall be entered in the minutes as an abstention. The president may vote on all questions.</w:t>
      </w:r>
      <w:r>
        <w:rPr>
          <w:rFonts w:ascii="Lato" w:eastAsia="Times New Roman" w:hAnsi="Lato"/>
        </w:rPr>
        <w:br/>
      </w:r>
      <w:r>
        <w:rPr>
          <w:rFonts w:ascii="Lato" w:eastAsia="Times New Roman" w:hAnsi="Lato"/>
        </w:rPr>
        <w:br/>
        <w:t>Members may change their votes up to the time the result of the vote is announced. Votes may not be changed after the result of the vote has been announced.</w:t>
      </w:r>
      <w:r>
        <w:rPr>
          <w:rFonts w:ascii="Lato" w:eastAsia="Times New Roman" w:hAnsi="Lato"/>
        </w:rPr>
        <w:br/>
      </w:r>
      <w:r>
        <w:rPr>
          <w:rFonts w:ascii="Lato" w:eastAsia="Times New Roman" w:hAnsi="Lato"/>
        </w:rPr>
        <w:br/>
        <w:t xml:space="preserve">A motion shall pass if a majority of those board members voting (not abstaining) cast a vote in favor of the motion, unless otherwise prescribed by law or policy. An affirmative vote of the majority of the whole board is required to enter into a contract, employ a person, approve a bill or issue a warrant. </w:t>
      </w:r>
    </w:p>
    <w:p w:rsidR="00A3384D" w:rsidRDefault="00CD695F">
      <w:pPr>
        <w:pStyle w:val="Heading3"/>
        <w:divId w:val="1002926278"/>
        <w:rPr>
          <w:rFonts w:ascii="Lato" w:eastAsia="Times New Roman" w:hAnsi="Lato"/>
        </w:rPr>
      </w:pPr>
      <w:r>
        <w:rPr>
          <w:rFonts w:ascii="Lato" w:eastAsia="Times New Roman" w:hAnsi="Lato"/>
        </w:rPr>
        <w:t>Voting in Open Session</w:t>
      </w:r>
    </w:p>
    <w:p w:rsidR="00A3384D" w:rsidRDefault="00CD695F">
      <w:pPr>
        <w:divId w:val="1002926278"/>
        <w:rPr>
          <w:rFonts w:ascii="Lato" w:eastAsia="Times New Roman" w:hAnsi="Lato"/>
        </w:rPr>
      </w:pPr>
      <w:r>
        <w:rPr>
          <w:rFonts w:ascii="Lato" w:eastAsia="Times New Roman" w:hAnsi="Lato"/>
        </w:rPr>
        <w:br/>
        <w:t>Voting in open session must be conducted in a manner that allows the public attending the meeting to observe how each member votes and in a manner that allows the board secretary to accurately discern and record the number of members voting for or against the motion as well as the members abstaining from voting on the motion.</w:t>
      </w:r>
      <w:r>
        <w:rPr>
          <w:rFonts w:ascii="Lato" w:eastAsia="Times New Roman" w:hAnsi="Lato"/>
        </w:rPr>
        <w:br/>
      </w:r>
      <w:r>
        <w:rPr>
          <w:rFonts w:ascii="Lato" w:eastAsia="Times New Roman" w:hAnsi="Lato"/>
        </w:rPr>
        <w:br/>
        <w:t>The board may decide to vote by roll call in open session. If a roll call vote is taken, the minutes will include a record of how each individual board member voted. When an open public vote is not to be taken by roll call, any member may request that the board be polled on any issue requiring a vote. When voting to adjourn to closed session, the specific reason for closing the meeting must be announced publicly by reference to a specific section of the law, and the vote must be taken by roll call.</w:t>
      </w:r>
      <w:r>
        <w:rPr>
          <w:rFonts w:ascii="Lato" w:eastAsia="Times New Roman" w:hAnsi="Lato"/>
        </w:rPr>
        <w:br/>
      </w:r>
      <w:r>
        <w:rPr>
          <w:rFonts w:ascii="Lato" w:eastAsia="Times New Roman" w:hAnsi="Lato"/>
        </w:rPr>
        <w:br/>
        <w:t xml:space="preserve">In the event a motion is made to close a meeting, record or vote and a board member believes that the motion, if passed, would violate the Missouri Sunshine Law, the board member may state an objection to the motion before or at the time the vote is taken. The board secretary will enter the objection in the minutes. Once the objection has been made the board member shall be allowed to fully participate in the meeting, record or vote even if it is closed over the member’s objection. If the board member voted against the motion to close the meeting, record or vote, the recorded objection and the vote is an absolute defense to any claim filed against the board member pursuant to the Missouri Sunshine Law. </w:t>
      </w:r>
    </w:p>
    <w:p w:rsidR="00A3384D" w:rsidRDefault="00CD695F">
      <w:pPr>
        <w:pStyle w:val="Heading3"/>
        <w:divId w:val="1002926278"/>
        <w:rPr>
          <w:rFonts w:ascii="Lato" w:eastAsia="Times New Roman" w:hAnsi="Lato"/>
        </w:rPr>
      </w:pPr>
      <w:r>
        <w:rPr>
          <w:rFonts w:ascii="Lato" w:eastAsia="Times New Roman" w:hAnsi="Lato"/>
        </w:rPr>
        <w:t>Voting in Closed Session</w:t>
      </w:r>
    </w:p>
    <w:p w:rsidR="00A3384D" w:rsidRDefault="00CD695F">
      <w:pPr>
        <w:divId w:val="1002926278"/>
        <w:rPr>
          <w:rFonts w:ascii="Lato" w:eastAsia="Times New Roman" w:hAnsi="Lato"/>
        </w:rPr>
      </w:pPr>
      <w:r>
        <w:rPr>
          <w:rFonts w:ascii="Lato" w:eastAsia="Times New Roman" w:hAnsi="Lato"/>
        </w:rPr>
        <w:br/>
        <w:t xml:space="preserve">All votes taken in closed session shall be taken by roll call, including the vote to adjourn. The minutes will reflect how each individual board member voted or that the board member abstained. </w:t>
      </w:r>
    </w:p>
    <w:p w:rsidR="00A3384D" w:rsidRDefault="00CD695F">
      <w:pPr>
        <w:pStyle w:val="Heading3"/>
        <w:divId w:val="1002926278"/>
        <w:rPr>
          <w:rFonts w:ascii="Lato" w:eastAsia="Times New Roman" w:hAnsi="Lato"/>
        </w:rPr>
      </w:pPr>
      <w:r>
        <w:rPr>
          <w:rFonts w:ascii="Lato" w:eastAsia="Times New Roman" w:hAnsi="Lato"/>
        </w:rPr>
        <w:t>Voting Electronically</w:t>
      </w:r>
    </w:p>
    <w:p w:rsidR="00A3384D" w:rsidRDefault="00CD695F">
      <w:pPr>
        <w:divId w:val="1002926278"/>
        <w:rPr>
          <w:rFonts w:ascii="Lato" w:eastAsia="Times New Roman" w:hAnsi="Lato"/>
        </w:rPr>
      </w:pPr>
      <w:r>
        <w:rPr>
          <w:rFonts w:ascii="Lato" w:eastAsia="Times New Roman" w:hAnsi="Lato"/>
        </w:rPr>
        <w:br/>
        <w:t xml:space="preserve">The board will allow members to participate electronically in meetings where other board members are </w:t>
      </w:r>
      <w:r>
        <w:rPr>
          <w:rFonts w:ascii="Lato" w:eastAsia="Times New Roman" w:hAnsi="Lato"/>
        </w:rPr>
        <w:lastRenderedPageBreak/>
        <w:t>physically present, and the board may hold meetings where all board members participate electronically. Participation may occur by telephone, videoconference or other electronic means. Board members may not simply vote electronically but must be connected with the meeting throughout the discussion of business and must be able to both hear and participate in the discussion. If a board member electronically joins the meeting after an item of business has been opened, the remotely located member shall not participate until the next item of business is opened.</w:t>
      </w:r>
      <w:r>
        <w:rPr>
          <w:rFonts w:ascii="Lato" w:eastAsia="Times New Roman" w:hAnsi="Lato"/>
        </w:rPr>
        <w:br/>
      </w:r>
      <w:r>
        <w:rPr>
          <w:rFonts w:ascii="Lato" w:eastAsia="Times New Roman" w:hAnsi="Lato"/>
        </w:rPr>
        <w:br/>
        <w:t>In accordance with law, board members who participate in a meeting by videoconferencing may discuss and vote on issues in both open and closed sessions, regardless of the method by which the vote is taken. Board members participating electronically by other means, such as by telephone, may discuss issues and vote as long as the vote is not made by roll call. Board members participating electronically using methods other than videoconferencing may not cast roll call votes, regardless of whether those votes occur in open or closed session, unless a district emergency exists and a quorum of the board is physically present at the meeting. If such an emergency exists, the nature of the district emergency shall be stated in the minutes.</w:t>
      </w:r>
      <w:r>
        <w:rPr>
          <w:rFonts w:ascii="Lato" w:eastAsia="Times New Roman" w:hAnsi="Lato"/>
        </w:rPr>
        <w:br/>
      </w:r>
      <w:r>
        <w:rPr>
          <w:rFonts w:ascii="Lato" w:eastAsia="Times New Roman" w:hAnsi="Lato"/>
        </w:rPr>
        <w:br/>
        <w:t xml:space="preserve">  </w:t>
      </w:r>
    </w:p>
    <w:p w:rsidR="009D2EEF" w:rsidRDefault="00CD695F">
      <w:pPr>
        <w:spacing w:after="0"/>
      </w:pPr>
      <w:proofErr w:type="gramStart"/>
      <w:r>
        <w:rPr>
          <w:rFonts w:ascii="Lato"/>
        </w:rPr>
        <w:t>©</w:t>
      </w:r>
      <w:r>
        <w:rPr>
          <w:rFonts w:ascii="Lato"/>
        </w:rPr>
        <w:t xml:space="preserve"> 2022 (09/22), Missouri School Boards' Association.</w:t>
      </w:r>
      <w:proofErr w:type="gramEnd"/>
    </w:p>
    <w:p w:rsidR="009D2EEF" w:rsidRDefault="00CD695F">
      <w:pPr>
        <w:spacing w:after="0"/>
      </w:pPr>
      <w:r>
        <w:rPr>
          <w:rFonts w:ascii="Lato"/>
        </w:rPr>
        <w:t>Version: [BDDF-1C.1H]</w:t>
      </w:r>
    </w:p>
    <w:p w:rsidR="009D2EEF" w:rsidRDefault="009D2EEF">
      <w:pPr>
        <w:pBdr>
          <w:bottom w:val="single" w:sz="5" w:space="1" w:color="auto"/>
        </w:pBdr>
      </w:pPr>
    </w:p>
    <w:p w:rsidR="00A3384D" w:rsidRDefault="00CD695F">
      <w:pPr>
        <w:divId w:val="407700649"/>
        <w:rPr>
          <w:rFonts w:ascii="Lato" w:eastAsia="Times New Roman" w:hAnsi="Lato"/>
        </w:rPr>
      </w:pPr>
      <w:r>
        <w:rPr>
          <w:rFonts w:ascii="Lato" w:eastAsia="Times New Roman" w:hAnsi="Lato"/>
        </w:rPr>
        <w:t> </w:t>
      </w:r>
    </w:p>
    <w:p w:rsidR="00A3384D" w:rsidRDefault="00CD695F">
      <w:pPr>
        <w:pStyle w:val="Heading2"/>
        <w:shd w:val="clear" w:color="auto" w:fill="FFFFFF"/>
        <w:spacing w:before="0" w:beforeAutospacing="0" w:after="0" w:afterAutospacing="0"/>
        <w:textAlignment w:val="baseline"/>
        <w:divId w:val="167136699"/>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A3384D" w:rsidRDefault="00CD695F">
      <w:pPr>
        <w:divId w:val="167136699"/>
        <w:rPr>
          <w:rFonts w:ascii="Lato" w:eastAsia="Times New Roman" w:hAnsi="Lato"/>
        </w:rPr>
      </w:pPr>
      <w:r>
        <w:rPr>
          <w:rFonts w:ascii="Lato" w:eastAsia="Times New Roman" w:hAnsi="Lato"/>
          <w:color w:val="000000"/>
          <w:sz w:val="20"/>
          <w:szCs w:val="20"/>
          <w:shd w:val="clear" w:color="auto" w:fill="FFFFFF"/>
        </w:rPr>
        <w:t> 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rPr>
        <w:t xml:space="preserve"> </w:t>
      </w:r>
    </w:p>
    <w:tbl>
      <w:tblPr>
        <w:tblW w:w="9993" w:type="dxa"/>
        <w:tblInd w:w="10" w:type="dxa"/>
        <w:tblCellMar>
          <w:left w:w="10" w:type="dxa"/>
          <w:right w:w="10" w:type="dxa"/>
        </w:tblCellMar>
        <w:tblLook w:val="0000" w:firstRow="0" w:lastRow="0" w:firstColumn="0" w:lastColumn="0" w:noHBand="0" w:noVBand="0"/>
      </w:tblPr>
      <w:tblGrid>
        <w:gridCol w:w="4023"/>
        <w:gridCol w:w="5970"/>
      </w:tblGrid>
      <w:tr w:rsidR="009D2EEF">
        <w:tc>
          <w:tcPr>
            <w:tcW w:w="4017" w:type="dxa"/>
          </w:tcPr>
          <w:p w:rsidR="009D2EEF" w:rsidRDefault="00CD695F">
            <w:pPr>
              <w:spacing w:after="0"/>
            </w:pPr>
            <w:r>
              <w:rPr>
                <w:rFonts w:ascii="Lato Black"/>
                <w:b/>
              </w:rPr>
              <w:t>State</w:t>
            </w:r>
          </w:p>
        </w:tc>
        <w:tc>
          <w:tcPr>
            <w:tcW w:w="5961" w:type="dxa"/>
          </w:tcPr>
          <w:p w:rsidR="009D2EEF" w:rsidRDefault="00CD695F">
            <w:pPr>
              <w:spacing w:after="0"/>
            </w:pPr>
            <w:r>
              <w:rPr>
                <w:rFonts w:ascii="Lato Black"/>
                <w:b/>
              </w:rPr>
              <w:t>Description</w:t>
            </w:r>
          </w:p>
        </w:tc>
      </w:tr>
      <w:tr w:rsidR="009D2EEF">
        <w:tc>
          <w:tcPr>
            <w:tcW w:w="4017" w:type="dxa"/>
          </w:tcPr>
          <w:p w:rsidR="009D2EEF" w:rsidRDefault="00CD695F">
            <w:pPr>
              <w:spacing w:after="0"/>
            </w:pPr>
            <w:r>
              <w:rPr>
                <w:rFonts w:ascii="Lato"/>
              </w:rPr>
              <w:t>§</w:t>
            </w:r>
            <w:r>
              <w:rPr>
                <w:rFonts w:ascii="Lato"/>
              </w:rPr>
              <w:t xml:space="preserve">162.301, </w:t>
            </w:r>
            <w:proofErr w:type="spellStart"/>
            <w:r>
              <w:rPr>
                <w:rFonts w:ascii="Lato"/>
              </w:rPr>
              <w:t>RSMo</w:t>
            </w:r>
            <w:proofErr w:type="spellEnd"/>
            <w:r>
              <w:rPr>
                <w:rFonts w:ascii="Lato"/>
              </w:rPr>
              <w:t>.</w:t>
            </w:r>
          </w:p>
        </w:tc>
        <w:tc>
          <w:tcPr>
            <w:tcW w:w="5961" w:type="dxa"/>
          </w:tcPr>
          <w:p w:rsidR="009D2EEF" w:rsidRDefault="00E332C8">
            <w:hyperlink r:id="rId5" w:docLocation="https://revisor.mo.gov/main/Home.aspx">
              <w:r w:rsidR="00CD695F">
                <w:rPr>
                  <w:rFonts w:ascii="Lato"/>
                  <w:color w:val="0000FF" w:themeColor="hyperlink"/>
                  <w:u w:val="single"/>
                </w:rPr>
                <w:t>State Statute</w:t>
              </w:r>
            </w:hyperlink>
          </w:p>
        </w:tc>
      </w:tr>
      <w:tr w:rsidR="009D2EEF">
        <w:tc>
          <w:tcPr>
            <w:tcW w:w="4017" w:type="dxa"/>
          </w:tcPr>
          <w:p w:rsidR="009D2EEF" w:rsidRDefault="00CD695F">
            <w:pPr>
              <w:spacing w:after="0"/>
            </w:pPr>
            <w:r>
              <w:rPr>
                <w:rFonts w:ascii="Lato"/>
              </w:rPr>
              <w:t>§</w:t>
            </w:r>
            <w:r>
              <w:rPr>
                <w:rFonts w:ascii="Lato"/>
              </w:rPr>
              <w:t xml:space="preserve">162.303, </w:t>
            </w:r>
            <w:proofErr w:type="spellStart"/>
            <w:r>
              <w:rPr>
                <w:rFonts w:ascii="Lato"/>
              </w:rPr>
              <w:t>RSMo</w:t>
            </w:r>
            <w:proofErr w:type="spellEnd"/>
            <w:r>
              <w:rPr>
                <w:rFonts w:ascii="Lato"/>
              </w:rPr>
              <w:t>.</w:t>
            </w:r>
          </w:p>
        </w:tc>
        <w:tc>
          <w:tcPr>
            <w:tcW w:w="5961" w:type="dxa"/>
          </w:tcPr>
          <w:p w:rsidR="009D2EEF" w:rsidRDefault="00E332C8">
            <w:hyperlink r:id="rId6" w:docLocation="https://revisor.mo.gov/main/Home.aspx">
              <w:r w:rsidR="00CD695F">
                <w:rPr>
                  <w:rFonts w:ascii="Lato"/>
                  <w:color w:val="0000FF" w:themeColor="hyperlink"/>
                  <w:u w:val="single"/>
                </w:rPr>
                <w:t>State Statute</w:t>
              </w:r>
            </w:hyperlink>
          </w:p>
        </w:tc>
      </w:tr>
      <w:tr w:rsidR="009D2EEF">
        <w:tc>
          <w:tcPr>
            <w:tcW w:w="4017" w:type="dxa"/>
          </w:tcPr>
          <w:p w:rsidR="009D2EEF" w:rsidRDefault="00CD695F">
            <w:pPr>
              <w:spacing w:after="0"/>
            </w:pPr>
            <w:r>
              <w:rPr>
                <w:rFonts w:ascii="Lato"/>
              </w:rPr>
              <w:t>§</w:t>
            </w:r>
            <w:r>
              <w:rPr>
                <w:rFonts w:ascii="Lato"/>
              </w:rPr>
              <w:t xml:space="preserve">610.010, </w:t>
            </w:r>
            <w:proofErr w:type="spellStart"/>
            <w:r>
              <w:rPr>
                <w:rFonts w:ascii="Lato"/>
              </w:rPr>
              <w:t>RSMo</w:t>
            </w:r>
            <w:proofErr w:type="spellEnd"/>
            <w:r>
              <w:rPr>
                <w:rFonts w:ascii="Lato"/>
              </w:rPr>
              <w:t>.</w:t>
            </w:r>
          </w:p>
        </w:tc>
        <w:tc>
          <w:tcPr>
            <w:tcW w:w="5961" w:type="dxa"/>
          </w:tcPr>
          <w:p w:rsidR="009D2EEF" w:rsidRDefault="00E332C8">
            <w:hyperlink r:id="rId7" w:docLocation="https://revisor.mo.gov/main/Home.aspx">
              <w:r w:rsidR="00CD695F">
                <w:rPr>
                  <w:rFonts w:ascii="Lato"/>
                  <w:color w:val="0000FF" w:themeColor="hyperlink"/>
                  <w:u w:val="single"/>
                </w:rPr>
                <w:t>State Statute</w:t>
              </w:r>
            </w:hyperlink>
          </w:p>
        </w:tc>
      </w:tr>
      <w:tr w:rsidR="009D2EEF">
        <w:tc>
          <w:tcPr>
            <w:tcW w:w="4017" w:type="dxa"/>
          </w:tcPr>
          <w:p w:rsidR="009D2EEF" w:rsidRDefault="00CD695F">
            <w:pPr>
              <w:spacing w:after="0"/>
            </w:pPr>
            <w:r>
              <w:rPr>
                <w:rFonts w:ascii="Lato"/>
              </w:rPr>
              <w:t>§</w:t>
            </w:r>
            <w:r>
              <w:rPr>
                <w:rFonts w:ascii="Lato"/>
              </w:rPr>
              <w:t xml:space="preserve">610.015, </w:t>
            </w:r>
            <w:proofErr w:type="spellStart"/>
            <w:r>
              <w:rPr>
                <w:rFonts w:ascii="Lato"/>
              </w:rPr>
              <w:t>RSMo</w:t>
            </w:r>
            <w:proofErr w:type="spellEnd"/>
            <w:r>
              <w:rPr>
                <w:rFonts w:ascii="Lato"/>
              </w:rPr>
              <w:t>.</w:t>
            </w:r>
          </w:p>
        </w:tc>
        <w:tc>
          <w:tcPr>
            <w:tcW w:w="5961" w:type="dxa"/>
          </w:tcPr>
          <w:p w:rsidR="009D2EEF" w:rsidRDefault="00E332C8">
            <w:hyperlink r:id="rId8" w:docLocation="https://revisor.mo.gov/main/Home.aspx">
              <w:r w:rsidR="00CD695F">
                <w:rPr>
                  <w:rFonts w:ascii="Lato"/>
                  <w:color w:val="0000FF" w:themeColor="hyperlink"/>
                  <w:u w:val="single"/>
                </w:rPr>
                <w:t>State Statute</w:t>
              </w:r>
            </w:hyperlink>
          </w:p>
        </w:tc>
      </w:tr>
      <w:tr w:rsidR="009D2EEF">
        <w:tc>
          <w:tcPr>
            <w:tcW w:w="4017" w:type="dxa"/>
          </w:tcPr>
          <w:p w:rsidR="009D2EEF" w:rsidRDefault="00CD695F">
            <w:pPr>
              <w:spacing w:after="0"/>
            </w:pPr>
            <w:r>
              <w:rPr>
                <w:rFonts w:ascii="Lato"/>
              </w:rPr>
              <w:t>§</w:t>
            </w:r>
            <w:r>
              <w:rPr>
                <w:rFonts w:ascii="Lato"/>
              </w:rPr>
              <w:t xml:space="preserve">610.020, </w:t>
            </w:r>
            <w:proofErr w:type="spellStart"/>
            <w:r>
              <w:rPr>
                <w:rFonts w:ascii="Lato"/>
              </w:rPr>
              <w:t>RSMo</w:t>
            </w:r>
            <w:proofErr w:type="spellEnd"/>
            <w:r>
              <w:rPr>
                <w:rFonts w:ascii="Lato"/>
              </w:rPr>
              <w:t>.</w:t>
            </w:r>
          </w:p>
        </w:tc>
        <w:tc>
          <w:tcPr>
            <w:tcW w:w="5961" w:type="dxa"/>
          </w:tcPr>
          <w:p w:rsidR="009D2EEF" w:rsidRDefault="00E332C8">
            <w:hyperlink r:id="rId9" w:docLocation="https://revisor.mo.gov/main/Home.aspx">
              <w:r w:rsidR="00CD695F">
                <w:rPr>
                  <w:rFonts w:ascii="Lato"/>
                  <w:color w:val="0000FF" w:themeColor="hyperlink"/>
                  <w:u w:val="single"/>
                </w:rPr>
                <w:t>State Statute</w:t>
              </w:r>
            </w:hyperlink>
          </w:p>
        </w:tc>
      </w:tr>
    </w:tbl>
    <w:p w:rsidR="00CD695F" w:rsidRDefault="00CD695F"/>
    <w:sectPr w:rsidR="00CD695F">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EF"/>
    <w:rsid w:val="009D2EEF"/>
    <w:rsid w:val="00A3384D"/>
    <w:rsid w:val="00CD695F"/>
    <w:rsid w:val="00E301F7"/>
    <w:rsid w:val="00E3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6699">
      <w:bodyDiv w:val="1"/>
      <w:marLeft w:val="0"/>
      <w:marRight w:val="0"/>
      <w:marTop w:val="0"/>
      <w:marBottom w:val="0"/>
      <w:divBdr>
        <w:top w:val="none" w:sz="0" w:space="0" w:color="auto"/>
        <w:left w:val="none" w:sz="0" w:space="0" w:color="auto"/>
        <w:bottom w:val="none" w:sz="0" w:space="0" w:color="auto"/>
        <w:right w:val="none" w:sz="0" w:space="0" w:color="auto"/>
      </w:divBdr>
      <w:divsChild>
        <w:div w:id="947203916">
          <w:marLeft w:val="0"/>
          <w:marRight w:val="0"/>
          <w:marTop w:val="0"/>
          <w:marBottom w:val="0"/>
          <w:divBdr>
            <w:top w:val="none" w:sz="0" w:space="0" w:color="auto"/>
            <w:left w:val="none" w:sz="0" w:space="0" w:color="auto"/>
            <w:bottom w:val="none" w:sz="0" w:space="0" w:color="auto"/>
            <w:right w:val="none" w:sz="0" w:space="0" w:color="auto"/>
          </w:divBdr>
          <w:divsChild>
            <w:div w:id="1065879083">
              <w:marLeft w:val="0"/>
              <w:marRight w:val="0"/>
              <w:marTop w:val="0"/>
              <w:marBottom w:val="0"/>
              <w:divBdr>
                <w:top w:val="none" w:sz="0" w:space="0" w:color="auto"/>
                <w:left w:val="none" w:sz="0" w:space="0" w:color="auto"/>
                <w:bottom w:val="none" w:sz="0" w:space="0" w:color="auto"/>
                <w:right w:val="none" w:sz="0" w:space="0" w:color="auto"/>
              </w:divBdr>
              <w:divsChild>
                <w:div w:id="4077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3" Type="http://schemas.openxmlformats.org/officeDocument/2006/relationships/settings" Target="settings.xml"/><Relationship Id="rId7" Type="http://schemas.openxmlformats.org/officeDocument/2006/relationships/hyperlink" Target="https://revisor.mo.gov/main/Home.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evisor.mo.gov/main/Home.aspx" TargetMode="External"/><Relationship Id="rId11" Type="http://schemas.openxmlformats.org/officeDocument/2006/relationships/theme" Target="theme/theme1.xml"/><Relationship Id="rId5" Type="http://schemas.openxmlformats.org/officeDocument/2006/relationships/hyperlink" Target="https://revisor.mo.gov/main/Home.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visor.mo.gov/main/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3</cp:revision>
  <dcterms:created xsi:type="dcterms:W3CDTF">2023-01-11T19:51:00Z</dcterms:created>
  <dcterms:modified xsi:type="dcterms:W3CDTF">2023-01-13T18:28:00Z</dcterms:modified>
</cp:coreProperties>
</file>